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5632DF">
        <w:tc>
          <w:tcPr>
            <w:tcW w:w="299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5632DF">
        <w:tc>
          <w:tcPr>
            <w:tcW w:w="299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5632DF">
        <w:tc>
          <w:tcPr>
            <w:tcW w:w="299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5632DF">
        <w:tc>
          <w:tcPr>
            <w:tcW w:w="299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5632DF">
        <w:tc>
          <w:tcPr>
            <w:tcW w:w="299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32E71425" w14:textId="77777777" w:rsidTr="005632DF">
        <w:tc>
          <w:tcPr>
            <w:tcW w:w="2991" w:type="dxa"/>
          </w:tcPr>
          <w:p w14:paraId="1B5BC42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2A81069A" w14:textId="4C6CC129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64A8D9D8" w14:textId="77777777" w:rsidTr="005632DF">
        <w:tc>
          <w:tcPr>
            <w:tcW w:w="2991" w:type="dxa"/>
          </w:tcPr>
          <w:p w14:paraId="65FC8CE1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24B591D8" w14:textId="7D9FCD88" w:rsidR="00B64B07" w:rsidRPr="007B6C7D" w:rsidRDefault="0017767A" w:rsidP="00B64B07">
            <w:pPr>
              <w:tabs>
                <w:tab w:val="left" w:pos="4007"/>
              </w:tabs>
              <w:spacing w:after="0" w:line="240" w:lineRule="auto"/>
            </w:pPr>
            <w:r>
              <w:t>15.6.2021</w:t>
            </w:r>
          </w:p>
        </w:tc>
      </w:tr>
      <w:tr w:rsidR="005632DF" w:rsidRPr="007B6C7D" w14:paraId="7C207F1E" w14:textId="77777777" w:rsidTr="005632DF">
        <w:tc>
          <w:tcPr>
            <w:tcW w:w="2991" w:type="dxa"/>
          </w:tcPr>
          <w:p w14:paraId="3CBA0D2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4897A1A1" w14:textId="649486F9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 w:rsidRPr="008E3BF4">
              <w:t xml:space="preserve">SOŠ techniky a služieb, </w:t>
            </w:r>
            <w:proofErr w:type="spellStart"/>
            <w:r w:rsidRPr="008E3BF4">
              <w:t>Tovarnícka</w:t>
            </w:r>
            <w:proofErr w:type="spellEnd"/>
            <w:r w:rsidRPr="008E3BF4">
              <w:t xml:space="preserve"> 1609, Topoľčany</w:t>
            </w:r>
          </w:p>
        </w:tc>
      </w:tr>
      <w:tr w:rsidR="005632DF" w:rsidRPr="007B6C7D" w14:paraId="414B8512" w14:textId="77777777" w:rsidTr="005632DF">
        <w:tc>
          <w:tcPr>
            <w:tcW w:w="2991" w:type="dxa"/>
          </w:tcPr>
          <w:p w14:paraId="05B995BE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3BB2469B" w14:textId="01101094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2846AE41" w14:textId="77777777" w:rsidTr="005632DF">
        <w:tc>
          <w:tcPr>
            <w:tcW w:w="2991" w:type="dxa"/>
          </w:tcPr>
          <w:p w14:paraId="093CD870" w14:textId="341DE881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1846F8CA" w14:textId="39999046" w:rsidR="007C6C87" w:rsidRDefault="0066402F" w:rsidP="005632DF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7E47EC71" w14:textId="23D0B1F0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9509E1">
        <w:trPr>
          <w:trHeight w:val="6419"/>
        </w:trPr>
        <w:tc>
          <w:tcPr>
            <w:tcW w:w="9062" w:type="dxa"/>
          </w:tcPr>
          <w:p w14:paraId="67426B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6CBB7DE" w14:textId="4D898383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334DB5CD" w14:textId="77777777" w:rsidR="00014210" w:rsidRDefault="000142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7211E" w14:textId="637AD887" w:rsidR="007B7F38" w:rsidRPr="006074CB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30">
              <w:rPr>
                <w:rFonts w:ascii="Times New Roman" w:hAnsi="Times New Roman"/>
                <w:sz w:val="24"/>
                <w:szCs w:val="24"/>
              </w:rPr>
              <w:t xml:space="preserve">Členovia pedagogického klubu sa zaoberali </w:t>
            </w:r>
            <w:r w:rsidR="00F00F30" w:rsidRPr="00F00F30">
              <w:rPr>
                <w:rFonts w:ascii="Times New Roman" w:hAnsi="Times New Roman"/>
                <w:sz w:val="24"/>
                <w:szCs w:val="24"/>
              </w:rPr>
              <w:t>možnosťami využitia didaktických PC hier pri vyučovaní predmetov rozvíjajúcich IKT zručnosti žiakov. Konkrétne ukážky PC hier a ich využitie na rôznych vyučovacích predmetoch.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>PC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 xml:space="preserve"> hra uľahčuje, skvalitňuje a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>zefektívňuje učenie sa žiaka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 xml:space="preserve"> je dynamizujúcim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elementom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vzdelávania,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efektný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ma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efektívnym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prostriedkom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transformácie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 xml:space="preserve">školy z dogmatickej, prinucujúcej učiť sa, preferujúcej </w:t>
            </w:r>
            <w:proofErr w:type="spellStart"/>
            <w:r w:rsidR="0017767A" w:rsidRPr="006074CB">
              <w:rPr>
                <w:rFonts w:ascii="Times New Roman" w:hAnsi="Times New Roman"/>
                <w:sz w:val="24"/>
                <w:szCs w:val="24"/>
              </w:rPr>
              <w:t>encyklopedizmus</w:t>
            </w:r>
            <w:proofErr w:type="spellEnd"/>
            <w:r w:rsidR="0017767A" w:rsidRPr="006074CB">
              <w:rPr>
                <w:rFonts w:ascii="Times New Roman" w:hAnsi="Times New Roman"/>
                <w:sz w:val="24"/>
                <w:szCs w:val="24"/>
              </w:rPr>
              <w:t>, nezáživnej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na školu tvorivú, radostnú, ktorá dokáže plnohodnotne rozvíjať každého žiaka so zreteľom na jeho individuálne možnosti a schopnosti. Didaktická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hra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je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analógia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spontánnej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detí,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ktorá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sleduje</w:t>
            </w:r>
            <w:r w:rsidR="006074CB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(pre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žiakov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nie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vždy zjavným spôsobom) didaktické ciele. Má svoje pravidlá, vyžaduje priebežné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riadenie a záverečné vyhodnotenie. Je určená jednotlivcom aj skupinám žiakov, pričom rola pedagogického vedúceho má široké rozpätie od hlavného organizátora až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po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pozorovateľa.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Jej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prednosťou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je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stimulačný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náboj,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lebo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prebúdza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záujem,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zvyšuje</w:t>
            </w:r>
            <w:r w:rsidR="00BF25BD" w:rsidRPr="0060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>angažovanosť žiakov na vykonávaných činnostiach, podnecuje ich tvorivosť, spontánnosť, spoluprácu aj súťaživosť, núti ich využívať rôzne poznatky a schopnosti, zapájať životné skúsenosti. Niektoré didaktické hry sa približujú modelovým situáciám z reálneho života</w:t>
            </w:r>
            <w:r w:rsidR="006074CB" w:rsidRPr="00607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D94C12" w14:textId="38EBEA55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258740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872A56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B7F38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2CB4808" w14:textId="696CDFAA" w:rsidR="00F305BB" w:rsidRPr="006074CB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B">
              <w:rPr>
                <w:rFonts w:ascii="Times New Roman" w:hAnsi="Times New Roman"/>
                <w:sz w:val="24"/>
                <w:szCs w:val="24"/>
              </w:rPr>
              <w:t>IKT zručnosti, skúsenosti,</w:t>
            </w:r>
            <w:r w:rsidR="0017767A" w:rsidRPr="006074CB">
              <w:rPr>
                <w:rFonts w:ascii="Times New Roman" w:hAnsi="Times New Roman"/>
                <w:sz w:val="24"/>
                <w:szCs w:val="24"/>
              </w:rPr>
              <w:t xml:space="preserve"> hry,</w:t>
            </w:r>
            <w:r w:rsidRPr="006074CB">
              <w:rPr>
                <w:rFonts w:ascii="Times New Roman" w:hAnsi="Times New Roman"/>
                <w:sz w:val="24"/>
                <w:szCs w:val="24"/>
              </w:rPr>
              <w:t xml:space="preserve"> výučba predmetov zameraných na rozvíjanie zručností IKT</w:t>
            </w:r>
          </w:p>
          <w:p w14:paraId="2269ED12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1F4DDE" w14:textId="0EAE8E6A" w:rsidR="007B7F38" w:rsidRPr="007B6C7D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1B361ED9" w14:textId="77777777" w:rsidTr="009509E1">
        <w:trPr>
          <w:trHeight w:val="6419"/>
        </w:trPr>
        <w:tc>
          <w:tcPr>
            <w:tcW w:w="9062" w:type="dxa"/>
          </w:tcPr>
          <w:p w14:paraId="7F200CE2" w14:textId="77777777" w:rsidR="009509E1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B9B39EF" w14:textId="1FB44961" w:rsidR="009509E1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52F5">
              <w:rPr>
                <w:rFonts w:ascii="Times New Roman" w:hAnsi="Times New Roman"/>
                <w:b/>
              </w:rPr>
              <w:t>Hlavné body:</w:t>
            </w:r>
          </w:p>
          <w:p w14:paraId="5D0A34CE" w14:textId="77777777" w:rsidR="009509E1" w:rsidRPr="00BF25BD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BD">
              <w:rPr>
                <w:rFonts w:ascii="Times New Roman" w:hAnsi="Times New Roman"/>
                <w:sz w:val="24"/>
                <w:szCs w:val="24"/>
              </w:rPr>
              <w:t>Oboznámenie sa s programom klubu, jednotlivými témami</w:t>
            </w:r>
          </w:p>
          <w:p w14:paraId="0117B3F1" w14:textId="03E54375" w:rsidR="0017767A" w:rsidRPr="00BF25BD" w:rsidRDefault="0017767A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BF25B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Charakteristika didaktických hier</w:t>
            </w:r>
          </w:p>
          <w:p w14:paraId="6E154054" w14:textId="69AFCA63" w:rsidR="0017767A" w:rsidRPr="00BF25BD" w:rsidRDefault="0017767A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BF25B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Význam využitia didaktických hier pri výučbe IKT </w:t>
            </w:r>
          </w:p>
          <w:p w14:paraId="2D2B774B" w14:textId="5A259014" w:rsidR="009509E1" w:rsidRPr="00BF25BD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BD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778C48CA" w14:textId="00607763" w:rsidR="009509E1" w:rsidRDefault="009509E1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1B8D6" w14:textId="77777777" w:rsidR="0017767A" w:rsidRDefault="00C252F5" w:rsidP="009509E1">
            <w:pPr>
              <w:tabs>
                <w:tab w:val="left" w:pos="1114"/>
              </w:tabs>
              <w:spacing w:after="0" w:line="240" w:lineRule="auto"/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67A" w:rsidRPr="00C723EB">
              <w:rPr>
                <w:rFonts w:ascii="Times New Roman" w:hAnsi="Times New Roman"/>
                <w:sz w:val="24"/>
                <w:szCs w:val="24"/>
              </w:rPr>
              <w:t>PC hry vo vyučovaní</w:t>
            </w:r>
            <w:r w:rsidR="0017767A">
              <w:t xml:space="preserve"> </w:t>
            </w:r>
          </w:p>
          <w:p w14:paraId="36F71F00" w14:textId="77777777" w:rsidR="0017767A" w:rsidRDefault="0017767A" w:rsidP="009509E1">
            <w:pPr>
              <w:tabs>
                <w:tab w:val="left" w:pos="1114"/>
              </w:tabs>
              <w:spacing w:after="0" w:line="240" w:lineRule="auto"/>
            </w:pPr>
          </w:p>
          <w:p w14:paraId="0FD0C51E" w14:textId="753CC24E" w:rsidR="00C252F5" w:rsidRPr="00C252F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617F7B87" w14:textId="77777777" w:rsidR="00C252F5" w:rsidRPr="001C5D5E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8C941" w14:textId="138CF43D" w:rsidR="0017767A" w:rsidRPr="006D7EE3" w:rsidRDefault="0084568C" w:rsidP="0017767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Členovia klubu boli oboznámení</w:t>
            </w:r>
            <w:r w:rsidR="0017767A" w:rsidRPr="006D7EE3">
              <w:rPr>
                <w:rStyle w:val="normaltextrun"/>
              </w:rPr>
              <w:t xml:space="preserve"> s možnosťami využitia </w:t>
            </w:r>
            <w:r w:rsidR="0017767A" w:rsidRPr="006D7EE3">
              <w:t>PC hier vo vyučovaní.</w:t>
            </w:r>
          </w:p>
          <w:p w14:paraId="2BFF3A20" w14:textId="1A7BEDB9" w:rsidR="0017767A" w:rsidRPr="006D7EE3" w:rsidRDefault="0017767A" w:rsidP="0017767A">
            <w:pPr>
              <w:pStyle w:val="paragraph"/>
              <w:spacing w:before="0" w:beforeAutospacing="0" w:after="0" w:afterAutospacing="0"/>
              <w:textAlignment w:val="baseline"/>
            </w:pPr>
            <w:r w:rsidRPr="006D7EE3">
              <w:rPr>
                <w:rStyle w:val="normaltextrun"/>
              </w:rPr>
              <w:t xml:space="preserve">Členovia pedagogického klubu v diskusii  skonštatovali, že používaním </w:t>
            </w:r>
            <w:r w:rsidRPr="006D7EE3">
              <w:t>PC hier vo vyučovaní</w:t>
            </w:r>
            <w:r w:rsidRPr="006D7EE3">
              <w:rPr>
                <w:rStyle w:val="normaltextrun"/>
              </w:rPr>
              <w:t> </w:t>
            </w:r>
            <w:r w:rsidRPr="006D7EE3">
              <w:rPr>
                <w:rStyle w:val="normaltextrun"/>
                <w:color w:val="FF0000"/>
              </w:rPr>
              <w:t> </w:t>
            </w:r>
            <w:r w:rsidRPr="006D7EE3">
              <w:rPr>
                <w:rStyle w:val="normaltextrun"/>
              </w:rPr>
              <w:t>pri výučbe IKT</w:t>
            </w:r>
            <w:r w:rsidRPr="006D7EE3">
              <w:rPr>
                <w:rStyle w:val="normaltextrun"/>
                <w:color w:val="FF0000"/>
              </w:rPr>
              <w:t> </w:t>
            </w:r>
            <w:r w:rsidRPr="006D7EE3">
              <w:rPr>
                <w:rStyle w:val="normaltextrun"/>
              </w:rPr>
              <w:t xml:space="preserve">žiaci potrebovali menej času na pochopenie a osvojenie si základných zručnosti. </w:t>
            </w:r>
            <w:r w:rsidRPr="006D7EE3">
              <w:t>Počítačové hry ponúkajú celý rad poznatkov, príležitosť na uplatnenie vlastných vedomostí, podporujú a uľahčujú proces učenia. Žiaci si môžu vyskúšať ako sa výsledok  hry mení v závislosti od ich rozhodnutia, rozvíjajú sa komunikačné a sociálne zručnosti v</w:t>
            </w:r>
            <w:r w:rsidR="006D7EE3">
              <w:t> </w:t>
            </w:r>
            <w:r w:rsidRPr="006D7EE3">
              <w:t>skupine</w:t>
            </w:r>
            <w:r w:rsidR="006D7EE3">
              <w:t>.</w:t>
            </w:r>
          </w:p>
          <w:p w14:paraId="7965AFE5" w14:textId="77777777" w:rsidR="0017767A" w:rsidRDefault="0017767A" w:rsidP="001776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272D983D" w14:textId="7B9708C8" w:rsidR="009509E1" w:rsidRPr="00C252F5" w:rsidRDefault="009509E1" w:rsidP="0017767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9509E1" w:rsidRPr="007B6C7D" w14:paraId="3F4F7AF2" w14:textId="77777777" w:rsidTr="009509E1">
        <w:trPr>
          <w:trHeight w:val="6419"/>
        </w:trPr>
        <w:tc>
          <w:tcPr>
            <w:tcW w:w="9062" w:type="dxa"/>
          </w:tcPr>
          <w:p w14:paraId="064A37A3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7B4FC15" w14:textId="77777777" w:rsidR="006074CB" w:rsidRDefault="006074CB" w:rsidP="006D7E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522A8" w14:textId="6453A384" w:rsidR="0094317C" w:rsidRPr="006074CB" w:rsidRDefault="00C252F5" w:rsidP="006D7E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B">
              <w:rPr>
                <w:rFonts w:ascii="Times New Roman" w:hAnsi="Times New Roman"/>
                <w:sz w:val="24"/>
                <w:szCs w:val="24"/>
              </w:rPr>
              <w:t>Čl</w:t>
            </w:r>
            <w:r w:rsidR="00AB7273" w:rsidRPr="006074CB">
              <w:rPr>
                <w:rFonts w:ascii="Times New Roman" w:hAnsi="Times New Roman"/>
                <w:sz w:val="24"/>
                <w:szCs w:val="24"/>
              </w:rPr>
              <w:t xml:space="preserve">enovia klubu skonštatovali, že rozvíjanie IKT zručnosti žiakov, ktoré majú význam pri riešení problémov v reálnom živote je pre žiakov veľmi dôležité. </w:t>
            </w:r>
            <w:r w:rsidR="006D7EE3" w:rsidRPr="006074CB">
              <w:rPr>
                <w:rFonts w:ascii="Times New Roman" w:hAnsi="Times New Roman"/>
                <w:sz w:val="24"/>
                <w:szCs w:val="24"/>
              </w:rPr>
              <w:t>PC hry vo vyučovaní majú okrem toho vopred presne určený didaktický cieľ, ktorý môže byť pre žiakov zjavný alebo skrytý. Didaktická hra potom objektívne prispieva k rozvoju osobnosti žiaka, jeho poznatkov a/alebo jeho zručností. Didaktické hry vo vyučovaní technických predmetov môžu byť použité vo všetkých vyššie uvedených funkciách, osobitný význam majú pre motiváciu a stimuláciu k ďalšiemu vzdelávaniu s potenciálom odhaliť aktuálnu úroveň vývinu žiaka a jeho zónu najbližšieho vývinu.</w:t>
            </w:r>
          </w:p>
        </w:tc>
      </w:tr>
    </w:tbl>
    <w:p w14:paraId="672C6FAD" w14:textId="1BF97B8E" w:rsidR="00F305BB" w:rsidRDefault="00F305BB" w:rsidP="00B440DB">
      <w:pPr>
        <w:tabs>
          <w:tab w:val="left" w:pos="1114"/>
        </w:tabs>
      </w:pPr>
      <w:r>
        <w:tab/>
      </w:r>
    </w:p>
    <w:p w14:paraId="4D05C8A2" w14:textId="77777777" w:rsidR="006274CC" w:rsidRPr="00B440DB" w:rsidRDefault="006274C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F25E84" w14:textId="7801F1F1" w:rsidR="00F305BB" w:rsidRPr="007B6C7D" w:rsidRDefault="00BF25BD" w:rsidP="00BF25BD">
            <w:pPr>
              <w:tabs>
                <w:tab w:val="left" w:pos="1114"/>
              </w:tabs>
              <w:spacing w:after="0" w:line="240" w:lineRule="auto"/>
            </w:pPr>
            <w:r>
              <w:t>Ing</w:t>
            </w:r>
            <w:r w:rsidR="005632DF">
              <w:t xml:space="preserve">. </w:t>
            </w:r>
            <w:r>
              <w:t>Branislav Ondrejka</w:t>
            </w:r>
          </w:p>
        </w:tc>
      </w:tr>
      <w:tr w:rsidR="00F305BB" w:rsidRPr="007B6C7D" w14:paraId="3A2701F0" w14:textId="77777777" w:rsidTr="007B6C7D">
        <w:tc>
          <w:tcPr>
            <w:tcW w:w="4077" w:type="dxa"/>
          </w:tcPr>
          <w:p w14:paraId="26915AE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58E3C6" w14:textId="19472E9A" w:rsidR="00F305BB" w:rsidRPr="007B6C7D" w:rsidRDefault="00BF25BD" w:rsidP="007B6C7D">
            <w:pPr>
              <w:tabs>
                <w:tab w:val="left" w:pos="1114"/>
              </w:tabs>
              <w:spacing w:after="0" w:line="240" w:lineRule="auto"/>
            </w:pPr>
            <w:r>
              <w:t>15.6.2021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47F5696F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5AD37F71" w:rsidR="00F305BB" w:rsidRPr="007B6C7D" w:rsidRDefault="00BF25BD" w:rsidP="007B6C7D">
            <w:pPr>
              <w:tabs>
                <w:tab w:val="left" w:pos="1114"/>
              </w:tabs>
              <w:spacing w:after="0" w:line="240" w:lineRule="auto"/>
            </w:pPr>
            <w:r>
              <w:t>15.6.2021</w:t>
            </w: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B9CA2F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323A569" w14:textId="2CAC361B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48D177F6" w:rsidR="00330E62" w:rsidRDefault="00D61B4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D61B4B">
        <w:rPr>
          <w:rFonts w:ascii="Times New Roman" w:hAnsi="Times New Roman"/>
          <w:b/>
          <w:noProof/>
          <w:sz w:val="28"/>
          <w:szCs w:val="28"/>
          <w:lang w:eastAsia="sk-SK"/>
        </w:rPr>
        <w:lastRenderedPageBreak/>
        <w:drawing>
          <wp:inline distT="0" distB="0" distL="0" distR="0" wp14:anchorId="69E54DF4" wp14:editId="2ECAC4CB">
            <wp:extent cx="5760720" cy="4321476"/>
            <wp:effectExtent l="0" t="0" r="0" b="3175"/>
            <wp:docPr id="3" name="Obrázok 3" descr="C:\Users\SOŠ Topoľčany\Desktop\IMG_20210615_14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Š Topoľčany\Desktop\IMG_20210615_1404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95B1" w14:textId="77777777" w:rsidR="006274CC" w:rsidRDefault="006274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CCE990E" w14:textId="2FDD5084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38A07A9C" w14:textId="77777777" w:rsidTr="001745A4">
        <w:tc>
          <w:tcPr>
            <w:tcW w:w="3528" w:type="dxa"/>
          </w:tcPr>
          <w:p w14:paraId="12DDA0A0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299E7CAC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</w:tbl>
    <w:p w14:paraId="4C0045E5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044CA45" w14:textId="3A106640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431A2A">
        <w:t xml:space="preserve"> </w:t>
      </w:r>
      <w:r w:rsidR="00431A2A" w:rsidRPr="008E3BF4">
        <w:t xml:space="preserve">SOŠ techniky a služieb, </w:t>
      </w:r>
      <w:proofErr w:type="spellStart"/>
      <w:r w:rsidR="00431A2A" w:rsidRPr="008E3BF4">
        <w:t>Tovarnícka</w:t>
      </w:r>
      <w:proofErr w:type="spellEnd"/>
      <w:r w:rsidR="00431A2A" w:rsidRPr="008E3BF4">
        <w:t xml:space="preserve"> 1609, Topoľčany</w:t>
      </w:r>
    </w:p>
    <w:p w14:paraId="4ECEEAF6" w14:textId="59956472" w:rsidR="00F305BB" w:rsidRDefault="00F305BB" w:rsidP="00D0796E">
      <w:r>
        <w:t>Dátum konania stretnutia:</w:t>
      </w:r>
      <w:r w:rsidR="00444D13">
        <w:t xml:space="preserve"> 15.6.2021</w:t>
      </w:r>
    </w:p>
    <w:p w14:paraId="7318D1DB" w14:textId="1F32BF29" w:rsidR="00F305BB" w:rsidRDefault="00F305BB" w:rsidP="00D0796E">
      <w:r>
        <w:t>Trvanie stretnutia: od</w:t>
      </w:r>
      <w:r w:rsidR="00431A2A">
        <w:t xml:space="preserve"> 14:00 </w:t>
      </w:r>
      <w:r>
        <w:t>hod</w:t>
      </w:r>
      <w:r>
        <w:tab/>
        <w:t>do</w:t>
      </w:r>
      <w:r w:rsidR="00431A2A">
        <w:t xml:space="preserve"> 16:00 </w:t>
      </w:r>
      <w:r>
        <w:t>hod</w:t>
      </w:r>
      <w:r>
        <w:tab/>
      </w:r>
    </w:p>
    <w:p w14:paraId="65032E9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32A3870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461F3437" w14:textId="77777777" w:rsidR="0000510A" w:rsidRPr="007B6C7D" w:rsidRDefault="0000510A" w:rsidP="00386870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36230842" w14:textId="77777777" w:rsidR="0000510A" w:rsidRPr="007B6C7D" w:rsidRDefault="0000510A" w:rsidP="00386870">
            <w:r w:rsidRPr="007B6C7D">
              <w:t>Meno a priezvisko</w:t>
            </w:r>
          </w:p>
        </w:tc>
        <w:tc>
          <w:tcPr>
            <w:tcW w:w="2427" w:type="dxa"/>
            <w:vAlign w:val="center"/>
          </w:tcPr>
          <w:p w14:paraId="7900A37D" w14:textId="77777777" w:rsidR="0000510A" w:rsidRPr="007B6C7D" w:rsidRDefault="0000510A" w:rsidP="00386870">
            <w:r w:rsidRPr="007B6C7D">
              <w:t>Podpis</w:t>
            </w:r>
          </w:p>
        </w:tc>
        <w:tc>
          <w:tcPr>
            <w:tcW w:w="2306" w:type="dxa"/>
            <w:vAlign w:val="center"/>
          </w:tcPr>
          <w:p w14:paraId="288CF89C" w14:textId="77777777" w:rsidR="0000510A" w:rsidRPr="007B6C7D" w:rsidRDefault="0000510A" w:rsidP="00386870">
            <w:r>
              <w:t>Inštitúcia</w:t>
            </w:r>
          </w:p>
        </w:tc>
      </w:tr>
      <w:tr w:rsidR="0000510A" w:rsidRPr="007B6C7D" w14:paraId="0D2998D8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45C3EA44" w14:textId="6B2011E8" w:rsidR="0000510A" w:rsidRPr="007B6C7D" w:rsidRDefault="005632DF" w:rsidP="00386870">
            <w:r>
              <w:t>1.</w:t>
            </w:r>
          </w:p>
        </w:tc>
        <w:tc>
          <w:tcPr>
            <w:tcW w:w="3935" w:type="dxa"/>
            <w:vAlign w:val="center"/>
          </w:tcPr>
          <w:p w14:paraId="07FF1AC8" w14:textId="211BD8E9" w:rsidR="0000510A" w:rsidRPr="007B6C7D" w:rsidRDefault="005632DF" w:rsidP="00386870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427" w:type="dxa"/>
            <w:vAlign w:val="center"/>
          </w:tcPr>
          <w:p w14:paraId="60B32998" w14:textId="77777777" w:rsidR="0000510A" w:rsidRPr="007B6C7D" w:rsidRDefault="0000510A" w:rsidP="00386870"/>
        </w:tc>
        <w:tc>
          <w:tcPr>
            <w:tcW w:w="2306" w:type="dxa"/>
            <w:vAlign w:val="center"/>
          </w:tcPr>
          <w:p w14:paraId="544F9C3C" w14:textId="2F9A2583" w:rsidR="0000510A" w:rsidRPr="007B6C7D" w:rsidRDefault="005632DF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6E4C7D6D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0FD9514A" w14:textId="6E95FC27" w:rsidR="00386870" w:rsidRPr="007B6C7D" w:rsidRDefault="00386870" w:rsidP="00386870">
            <w:r>
              <w:t>2.</w:t>
            </w:r>
          </w:p>
        </w:tc>
        <w:tc>
          <w:tcPr>
            <w:tcW w:w="3935" w:type="dxa"/>
            <w:vAlign w:val="center"/>
          </w:tcPr>
          <w:p w14:paraId="1F104DEA" w14:textId="1DCDB485" w:rsidR="00386870" w:rsidRPr="007B6C7D" w:rsidRDefault="00386870" w:rsidP="00386870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427" w:type="dxa"/>
            <w:vAlign w:val="center"/>
          </w:tcPr>
          <w:p w14:paraId="4F89CF2A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74DD7132" w14:textId="3E1E05A1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38168E01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0774BEF4" w14:textId="2B7D55DE" w:rsidR="00386870" w:rsidRPr="007B6C7D" w:rsidRDefault="00386870" w:rsidP="00386870">
            <w:r>
              <w:t>3.</w:t>
            </w:r>
          </w:p>
        </w:tc>
        <w:tc>
          <w:tcPr>
            <w:tcW w:w="3935" w:type="dxa"/>
            <w:vAlign w:val="center"/>
          </w:tcPr>
          <w:p w14:paraId="24CE4FF6" w14:textId="76D4A268" w:rsidR="00386870" w:rsidRPr="007B6C7D" w:rsidRDefault="00386870" w:rsidP="00386870">
            <w:r>
              <w:t xml:space="preserve">Mgr.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427" w:type="dxa"/>
            <w:vAlign w:val="center"/>
          </w:tcPr>
          <w:p w14:paraId="19DE687C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045B27E7" w14:textId="3CC9F9B4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750F9564" w14:textId="77777777" w:rsidTr="00386870">
        <w:trPr>
          <w:trHeight w:val="337"/>
        </w:trPr>
        <w:tc>
          <w:tcPr>
            <w:tcW w:w="544" w:type="dxa"/>
            <w:vAlign w:val="center"/>
          </w:tcPr>
          <w:p w14:paraId="545281F9" w14:textId="2DB3DA6C" w:rsidR="00386870" w:rsidRPr="007B6C7D" w:rsidRDefault="00386870" w:rsidP="00386870">
            <w:r>
              <w:t>4.</w:t>
            </w:r>
          </w:p>
        </w:tc>
        <w:tc>
          <w:tcPr>
            <w:tcW w:w="3935" w:type="dxa"/>
            <w:vAlign w:val="center"/>
          </w:tcPr>
          <w:p w14:paraId="7C50FD7A" w14:textId="23B8D5B9" w:rsidR="00386870" w:rsidRPr="007B6C7D" w:rsidRDefault="00386870" w:rsidP="00386870">
            <w:r>
              <w:t>Ing. Branislav Ondrejka</w:t>
            </w:r>
          </w:p>
        </w:tc>
        <w:tc>
          <w:tcPr>
            <w:tcW w:w="2427" w:type="dxa"/>
            <w:vAlign w:val="center"/>
          </w:tcPr>
          <w:p w14:paraId="4A193139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438233F2" w14:textId="0464E50D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2DB25DF4" w14:textId="77777777" w:rsidTr="00386870">
        <w:trPr>
          <w:trHeight w:val="355"/>
        </w:trPr>
        <w:tc>
          <w:tcPr>
            <w:tcW w:w="544" w:type="dxa"/>
            <w:vAlign w:val="center"/>
          </w:tcPr>
          <w:p w14:paraId="71E30C4B" w14:textId="02E9D8A2" w:rsidR="00386870" w:rsidRPr="007B6C7D" w:rsidRDefault="00386870" w:rsidP="00386870">
            <w:r>
              <w:t>5.</w:t>
            </w:r>
          </w:p>
        </w:tc>
        <w:tc>
          <w:tcPr>
            <w:tcW w:w="3935" w:type="dxa"/>
            <w:vAlign w:val="center"/>
          </w:tcPr>
          <w:p w14:paraId="2E5B99E6" w14:textId="785B304E" w:rsidR="00386870" w:rsidRPr="007B6C7D" w:rsidRDefault="00386870" w:rsidP="00386870"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  <w:tc>
          <w:tcPr>
            <w:tcW w:w="2427" w:type="dxa"/>
            <w:vAlign w:val="center"/>
          </w:tcPr>
          <w:p w14:paraId="0B2BE1C0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2D804A62" w14:textId="4919EEC5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02575D76" w14:textId="77777777" w:rsidTr="00386870">
        <w:trPr>
          <w:trHeight w:val="355"/>
        </w:trPr>
        <w:tc>
          <w:tcPr>
            <w:tcW w:w="544" w:type="dxa"/>
            <w:vAlign w:val="center"/>
          </w:tcPr>
          <w:p w14:paraId="2ECB3701" w14:textId="49C4003A" w:rsidR="00386870" w:rsidRPr="007B6C7D" w:rsidRDefault="00386870" w:rsidP="00386870">
            <w:r>
              <w:t>6.</w:t>
            </w:r>
          </w:p>
        </w:tc>
        <w:tc>
          <w:tcPr>
            <w:tcW w:w="3935" w:type="dxa"/>
            <w:vAlign w:val="center"/>
          </w:tcPr>
          <w:p w14:paraId="4509E147" w14:textId="25DA0D77" w:rsidR="00386870" w:rsidRPr="007B6C7D" w:rsidRDefault="006274CC" w:rsidP="00386870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427" w:type="dxa"/>
            <w:vAlign w:val="center"/>
          </w:tcPr>
          <w:p w14:paraId="27143850" w14:textId="77777777" w:rsidR="00386870" w:rsidRPr="007B6C7D" w:rsidRDefault="00386870" w:rsidP="00386870"/>
        </w:tc>
        <w:tc>
          <w:tcPr>
            <w:tcW w:w="2306" w:type="dxa"/>
            <w:vAlign w:val="center"/>
          </w:tcPr>
          <w:p w14:paraId="4DC10E88" w14:textId="1AC67004" w:rsidR="00386870" w:rsidRPr="007B6C7D" w:rsidRDefault="00386870" w:rsidP="00386870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</w:tbl>
    <w:p w14:paraId="75DB8D9D" w14:textId="44C94CF5" w:rsidR="00BF2062" w:rsidRPr="00BF2062" w:rsidRDefault="00BF2062" w:rsidP="00BF2062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73A5" w14:textId="77777777" w:rsidR="0066402F" w:rsidRDefault="0066402F" w:rsidP="00CF35D8">
      <w:pPr>
        <w:spacing w:after="0" w:line="240" w:lineRule="auto"/>
      </w:pPr>
      <w:r>
        <w:separator/>
      </w:r>
    </w:p>
  </w:endnote>
  <w:endnote w:type="continuationSeparator" w:id="0">
    <w:p w14:paraId="5CB8EB33" w14:textId="77777777" w:rsidR="0066402F" w:rsidRDefault="006640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186B" w14:textId="77777777" w:rsidR="0066402F" w:rsidRDefault="0066402F" w:rsidP="00CF35D8">
      <w:pPr>
        <w:spacing w:after="0" w:line="240" w:lineRule="auto"/>
      </w:pPr>
      <w:r>
        <w:separator/>
      </w:r>
    </w:p>
  </w:footnote>
  <w:footnote w:type="continuationSeparator" w:id="0">
    <w:p w14:paraId="4EFCC996" w14:textId="77777777" w:rsidR="0066402F" w:rsidRDefault="006640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4210"/>
    <w:rsid w:val="00030C79"/>
    <w:rsid w:val="00053B89"/>
    <w:rsid w:val="000B7B96"/>
    <w:rsid w:val="000E6FBF"/>
    <w:rsid w:val="000F127B"/>
    <w:rsid w:val="00137050"/>
    <w:rsid w:val="00147CEB"/>
    <w:rsid w:val="00151F6C"/>
    <w:rsid w:val="001544C0"/>
    <w:rsid w:val="001620FF"/>
    <w:rsid w:val="001745A4"/>
    <w:rsid w:val="0017767A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30E62"/>
    <w:rsid w:val="0034733D"/>
    <w:rsid w:val="003700F7"/>
    <w:rsid w:val="00386870"/>
    <w:rsid w:val="003F10E0"/>
    <w:rsid w:val="004129EF"/>
    <w:rsid w:val="00423CC3"/>
    <w:rsid w:val="00431A2A"/>
    <w:rsid w:val="00444D13"/>
    <w:rsid w:val="00446402"/>
    <w:rsid w:val="004C05D7"/>
    <w:rsid w:val="004F368A"/>
    <w:rsid w:val="00507CF5"/>
    <w:rsid w:val="005361EC"/>
    <w:rsid w:val="00541786"/>
    <w:rsid w:val="0055263C"/>
    <w:rsid w:val="005632DF"/>
    <w:rsid w:val="00583AF0"/>
    <w:rsid w:val="0058712F"/>
    <w:rsid w:val="00592E27"/>
    <w:rsid w:val="0059389B"/>
    <w:rsid w:val="006074CB"/>
    <w:rsid w:val="006274CC"/>
    <w:rsid w:val="006377DA"/>
    <w:rsid w:val="0066402F"/>
    <w:rsid w:val="006A3977"/>
    <w:rsid w:val="006B6CBE"/>
    <w:rsid w:val="006D7EE3"/>
    <w:rsid w:val="006E77C5"/>
    <w:rsid w:val="007105B8"/>
    <w:rsid w:val="007471FF"/>
    <w:rsid w:val="007A5170"/>
    <w:rsid w:val="007A6CFA"/>
    <w:rsid w:val="007B6C7D"/>
    <w:rsid w:val="007B7F38"/>
    <w:rsid w:val="007C6C87"/>
    <w:rsid w:val="008058B8"/>
    <w:rsid w:val="0084568C"/>
    <w:rsid w:val="008505CE"/>
    <w:rsid w:val="008721DB"/>
    <w:rsid w:val="008C3B1D"/>
    <w:rsid w:val="008C3C41"/>
    <w:rsid w:val="0094317C"/>
    <w:rsid w:val="009509E1"/>
    <w:rsid w:val="009C3018"/>
    <w:rsid w:val="009F4F76"/>
    <w:rsid w:val="00A47FD3"/>
    <w:rsid w:val="00A71E3A"/>
    <w:rsid w:val="00A9043F"/>
    <w:rsid w:val="00AB111C"/>
    <w:rsid w:val="00AB7273"/>
    <w:rsid w:val="00AF5989"/>
    <w:rsid w:val="00B440DB"/>
    <w:rsid w:val="00B64B07"/>
    <w:rsid w:val="00B71530"/>
    <w:rsid w:val="00BB5601"/>
    <w:rsid w:val="00BE675A"/>
    <w:rsid w:val="00BF2062"/>
    <w:rsid w:val="00BF25BD"/>
    <w:rsid w:val="00BF2F35"/>
    <w:rsid w:val="00BF4683"/>
    <w:rsid w:val="00BF4792"/>
    <w:rsid w:val="00C0136D"/>
    <w:rsid w:val="00C065E1"/>
    <w:rsid w:val="00C252F5"/>
    <w:rsid w:val="00C723EB"/>
    <w:rsid w:val="00CA0B4D"/>
    <w:rsid w:val="00CA771E"/>
    <w:rsid w:val="00CB4017"/>
    <w:rsid w:val="00CD7D64"/>
    <w:rsid w:val="00CF35D8"/>
    <w:rsid w:val="00D0796E"/>
    <w:rsid w:val="00D5619C"/>
    <w:rsid w:val="00D61B4B"/>
    <w:rsid w:val="00DA6ABC"/>
    <w:rsid w:val="00DD1AA4"/>
    <w:rsid w:val="00E36C97"/>
    <w:rsid w:val="00E926D8"/>
    <w:rsid w:val="00EC5730"/>
    <w:rsid w:val="00F005B4"/>
    <w:rsid w:val="00F00F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74CC"/>
    <w:rPr>
      <w:color w:val="800080" w:themeColor="followedHyperlink"/>
      <w:u w:val="single"/>
    </w:rPr>
  </w:style>
  <w:style w:type="character" w:customStyle="1" w:styleId="normaltextrun">
    <w:name w:val="normaltextrun"/>
    <w:basedOn w:val="Predvolenpsmoodseku"/>
    <w:rsid w:val="0017767A"/>
  </w:style>
  <w:style w:type="paragraph" w:customStyle="1" w:styleId="paragraph">
    <w:name w:val="paragraph"/>
    <w:basedOn w:val="Normlny"/>
    <w:rsid w:val="0017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1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Eliasova Tereza</cp:lastModifiedBy>
  <cp:revision>2</cp:revision>
  <cp:lastPrinted>2021-06-16T05:57:00Z</cp:lastPrinted>
  <dcterms:created xsi:type="dcterms:W3CDTF">2022-05-10T18:22:00Z</dcterms:created>
  <dcterms:modified xsi:type="dcterms:W3CDTF">2022-05-10T18:22:00Z</dcterms:modified>
</cp:coreProperties>
</file>