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3E2F98C" w14:textId="77777777" w:rsidR="00592A17" w:rsidRPr="00592A17" w:rsidRDefault="00592A17" w:rsidP="00592A17">
      <w:pPr>
        <w:rPr>
          <w:rFonts w:cs="Calibri"/>
        </w:rPr>
      </w:pPr>
      <w:r w:rsidRPr="00592A17">
        <w:t xml:space="preserve">Temat: </w:t>
      </w:r>
      <w:r w:rsidRPr="00592A17">
        <w:rPr>
          <w:rFonts w:cs="Calibri"/>
        </w:rPr>
        <w:t>Koniec epoki rycerstwa</w:t>
      </w:r>
    </w:p>
    <w:p w14:paraId="358C1852" w14:textId="77777777" w:rsidR="00592A17" w:rsidRPr="00592A17" w:rsidRDefault="00592A17" w:rsidP="00592A17">
      <w:pPr>
        <w:spacing w:after="0" w:line="240" w:lineRule="auto"/>
        <w:rPr>
          <w:rFonts w:cs="Calibri"/>
        </w:rPr>
      </w:pPr>
      <w:r w:rsidRPr="00592A17">
        <w:rPr>
          <w:rFonts w:cs="Calibri"/>
        </w:rPr>
        <w:t>Cele:</w:t>
      </w:r>
    </w:p>
    <w:p w14:paraId="5A8DDEEC" w14:textId="77777777" w:rsidR="00592A17" w:rsidRPr="00592A17" w:rsidRDefault="00592A17" w:rsidP="00592A17">
      <w:pPr>
        <w:spacing w:after="0" w:line="240" w:lineRule="auto"/>
        <w:rPr>
          <w:rFonts w:cs="Calibri"/>
        </w:rPr>
      </w:pPr>
      <w:r w:rsidRPr="00592A17">
        <w:rPr>
          <w:rFonts w:cs="Calibri"/>
        </w:rPr>
        <w:t>- wojna stuletnia</w:t>
      </w:r>
    </w:p>
    <w:p w14:paraId="0FADFB79" w14:textId="77777777" w:rsidR="00592A17" w:rsidRPr="00592A17" w:rsidRDefault="00592A17" w:rsidP="00592A17">
      <w:pPr>
        <w:spacing w:after="0" w:line="240" w:lineRule="auto"/>
        <w:rPr>
          <w:rFonts w:cs="Calibri"/>
        </w:rPr>
      </w:pPr>
      <w:r w:rsidRPr="00592A17">
        <w:rPr>
          <w:rFonts w:cs="Calibri"/>
        </w:rPr>
        <w:t>- zmierzch rycerstwa</w:t>
      </w:r>
    </w:p>
    <w:p w14:paraId="20950E7A" w14:textId="77777777" w:rsidR="00592A17" w:rsidRPr="00592A17" w:rsidRDefault="00592A17" w:rsidP="00592A17">
      <w:pPr>
        <w:spacing w:after="0" w:line="240" w:lineRule="auto"/>
        <w:rPr>
          <w:rFonts w:cs="Calibri"/>
        </w:rPr>
      </w:pPr>
      <w:r w:rsidRPr="00592A17">
        <w:rPr>
          <w:rFonts w:cs="Calibri"/>
        </w:rPr>
        <w:t>- początki broni palnej</w:t>
      </w:r>
    </w:p>
    <w:p w14:paraId="115916AB" w14:textId="77777777" w:rsidR="00592A17" w:rsidRPr="00592A17" w:rsidRDefault="00592A17" w:rsidP="00592A17">
      <w:pPr>
        <w:spacing w:after="0" w:line="240" w:lineRule="auto"/>
        <w:rPr>
          <w:rFonts w:cs="Calibri"/>
        </w:rPr>
      </w:pPr>
    </w:p>
    <w:p w14:paraId="21C76861" w14:textId="77777777" w:rsidR="00592A17" w:rsidRPr="00592A17" w:rsidRDefault="00592A17" w:rsidP="00592A17">
      <w:pPr>
        <w:spacing w:after="0" w:line="240" w:lineRule="auto"/>
        <w:rPr>
          <w:rFonts w:cs="Calibri"/>
        </w:rPr>
      </w:pPr>
      <w:r w:rsidRPr="00592A17">
        <w:rPr>
          <w:rFonts w:cs="Calibri"/>
        </w:rPr>
        <w:t xml:space="preserve">Na koniec średniowiecza znaczenie militarne rycerstwa systematycznie malało. Rycerze nie byli w stanie poradzić sobie w walkach ze Szwajcarami, toczonych na górskich terenach, ani przełamać taborów obronnych husytów. W trakcie wojny stuletniej (1337-1453 r.)pomiędzy Anglią a Francją spotkały ich dwie wielkie porażki – pod </w:t>
      </w:r>
      <w:proofErr w:type="spellStart"/>
      <w:r w:rsidRPr="00592A17">
        <w:rPr>
          <w:rFonts w:cs="Calibri"/>
        </w:rPr>
        <w:t>Crecy</w:t>
      </w:r>
      <w:proofErr w:type="spellEnd"/>
      <w:r w:rsidRPr="00592A17">
        <w:rPr>
          <w:rFonts w:cs="Calibri"/>
        </w:rPr>
        <w:t xml:space="preserve"> i Azincourt. Strzały łuczników okazały się wówczas skuteczniejsze od szarży kawalerii.</w:t>
      </w:r>
    </w:p>
    <w:p w14:paraId="79FC04F0" w14:textId="77777777" w:rsidR="00592A17" w:rsidRPr="00592A17" w:rsidRDefault="00592A17" w:rsidP="00592A17">
      <w:pPr>
        <w:spacing w:after="0" w:line="240" w:lineRule="auto"/>
        <w:rPr>
          <w:rFonts w:cs="Calibri"/>
        </w:rPr>
      </w:pPr>
      <w:r w:rsidRPr="00592A17">
        <w:rPr>
          <w:rFonts w:cs="Calibri"/>
        </w:rPr>
        <w:t xml:space="preserve">W średniowieczu pojawiła się broń palna – ręczna i działa. Początkowo nie odgrywała żadnej roli na polach bitew, jednak znacznie ułatwiała zdobywanie fortyfikacji. </w:t>
      </w:r>
    </w:p>
    <w:p w14:paraId="545651C3" w14:textId="77777777" w:rsidR="00592A17" w:rsidRPr="00592A17" w:rsidRDefault="00592A17" w:rsidP="00592A17">
      <w:pPr>
        <w:spacing w:after="0" w:line="240" w:lineRule="auto"/>
        <w:rPr>
          <w:rFonts w:cs="Calibri"/>
        </w:rPr>
      </w:pPr>
    </w:p>
    <w:p w14:paraId="0E8B994F" w14:textId="77777777" w:rsidR="00592A17" w:rsidRPr="00592A17" w:rsidRDefault="00592A17" w:rsidP="00592A17">
      <w:pPr>
        <w:spacing w:after="0" w:line="240" w:lineRule="auto"/>
        <w:rPr>
          <w:rFonts w:cs="Calibri"/>
        </w:rPr>
      </w:pPr>
      <w:r w:rsidRPr="00592A17">
        <w:rPr>
          <w:rFonts w:ascii="PT Sans" w:hAnsi="PT Sans" w:cs="Arial"/>
          <w:noProof/>
          <w:sz w:val="11"/>
          <w:szCs w:val="11"/>
          <w:lang w:eastAsia="pl-PL"/>
        </w:rPr>
        <w:drawing>
          <wp:inline distT="0" distB="0" distL="0" distR="0" wp14:anchorId="15AE200F" wp14:editId="54109027">
            <wp:extent cx="3926406" cy="4572000"/>
            <wp:effectExtent l="19050" t="0" r="0" b="0"/>
            <wp:docPr id="38" name="Obraz 38" descr="https://histmag.org/grafika/articles4/wojna-stuletnia/edward3-liczy-poleglych-pod-crecy_min_550x640.jpg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histmag.org/grafika/articles4/wojna-stuletnia/edward3-liczy-poleglych-pod-crecy_min_550x640.jpg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6358" cy="4571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C851BA8" w14:textId="77777777" w:rsidR="00592A17" w:rsidRPr="00592A17" w:rsidRDefault="00592A17" w:rsidP="00592A17">
      <w:pPr>
        <w:spacing w:after="0" w:line="240" w:lineRule="auto"/>
        <w:rPr>
          <w:rFonts w:cs="Calibri"/>
        </w:rPr>
      </w:pPr>
    </w:p>
    <w:p w14:paraId="3982B919" w14:textId="77777777" w:rsidR="00592A17" w:rsidRPr="00592A17" w:rsidRDefault="00592A17" w:rsidP="00592A17">
      <w:pPr>
        <w:spacing w:after="0" w:line="240" w:lineRule="auto"/>
        <w:rPr>
          <w:rFonts w:cs="Calibri"/>
        </w:rPr>
      </w:pPr>
      <w:r w:rsidRPr="00592A17">
        <w:rPr>
          <w:rFonts w:cs="Calibri"/>
        </w:rPr>
        <w:t xml:space="preserve">Edward III liczy poległych w bitwie pod </w:t>
      </w:r>
      <w:proofErr w:type="spellStart"/>
      <w:r w:rsidRPr="00592A17">
        <w:rPr>
          <w:rFonts w:cs="Calibri"/>
        </w:rPr>
        <w:t>Crécy</w:t>
      </w:r>
      <w:proofErr w:type="spellEnd"/>
      <w:r w:rsidRPr="00592A17">
        <w:rPr>
          <w:rFonts w:cs="Calibri"/>
        </w:rPr>
        <w:t xml:space="preserve"> (miniatura z początku XV wieku)</w:t>
      </w:r>
    </w:p>
    <w:p w14:paraId="6703CF58" w14:textId="77777777" w:rsidR="00592A17" w:rsidRPr="00592A17" w:rsidRDefault="00592A17" w:rsidP="00592A17">
      <w:pPr>
        <w:spacing w:after="0" w:line="240" w:lineRule="auto"/>
        <w:rPr>
          <w:rFonts w:cs="Calibri"/>
        </w:rPr>
      </w:pPr>
    </w:p>
    <w:p w14:paraId="183645F4" w14:textId="77777777" w:rsidR="00592A17" w:rsidRPr="00592A17" w:rsidRDefault="00592A17" w:rsidP="00592A17">
      <w:pPr>
        <w:spacing w:after="0" w:line="240" w:lineRule="auto"/>
        <w:rPr>
          <w:rFonts w:cs="Calibri"/>
        </w:rPr>
      </w:pPr>
      <w:r w:rsidRPr="00592A17">
        <w:rPr>
          <w:noProof/>
          <w:lang w:eastAsia="pl-PL"/>
        </w:rPr>
        <w:lastRenderedPageBreak/>
        <w:drawing>
          <wp:inline distT="0" distB="0" distL="0" distR="0" wp14:anchorId="1A77048F" wp14:editId="62F69400">
            <wp:extent cx="5760720" cy="4793055"/>
            <wp:effectExtent l="19050" t="0" r="0" b="0"/>
            <wp:docPr id="1" name="Obraz 1" descr="https://upload.wikimedia.org/wikipedia/commons/f/ff/Agincou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pload.wikimedia.org/wikipedia/commons/f/ff/Agincour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793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5265317" w14:textId="77777777" w:rsidR="00592A17" w:rsidRPr="00592A17" w:rsidRDefault="00592A17" w:rsidP="00592A17">
      <w:pPr>
        <w:spacing w:after="0" w:line="240" w:lineRule="auto"/>
      </w:pPr>
    </w:p>
    <w:p w14:paraId="5A4E9510" w14:textId="77777777" w:rsidR="00592A17" w:rsidRPr="00592A17" w:rsidRDefault="00592A17" w:rsidP="00592A17">
      <w:pPr>
        <w:spacing w:after="0" w:line="240" w:lineRule="auto"/>
      </w:pPr>
      <w:r w:rsidRPr="00592A17">
        <w:t>Bitwa pod Azincourt, miniatura z XV wieku</w:t>
      </w:r>
    </w:p>
    <w:p w14:paraId="13B95C75" w14:textId="77777777" w:rsidR="00592A17" w:rsidRPr="00592A17" w:rsidRDefault="00592A17" w:rsidP="00592A17">
      <w:pPr>
        <w:spacing w:after="0" w:line="240" w:lineRule="auto"/>
      </w:pPr>
    </w:p>
    <w:p w14:paraId="491CBF95" w14:textId="77777777" w:rsidR="00592A17" w:rsidRPr="00592A17" w:rsidRDefault="00592A17" w:rsidP="00592A17">
      <w:pPr>
        <w:spacing w:after="0" w:line="240" w:lineRule="auto"/>
      </w:pPr>
      <w:r w:rsidRPr="00592A17">
        <w:rPr>
          <w:noProof/>
          <w:lang w:eastAsia="pl-PL"/>
        </w:rPr>
        <w:lastRenderedPageBreak/>
        <w:drawing>
          <wp:inline distT="0" distB="0" distL="0" distR="0" wp14:anchorId="2898AABA" wp14:editId="03DA7C8A">
            <wp:extent cx="2735942" cy="3800104"/>
            <wp:effectExtent l="19050" t="0" r="7258" b="0"/>
            <wp:docPr id="4" name="Obraz 4" descr="https://upload.wikimedia.org/wikipedia/commons/e/e9/Lenepveu%2C_Jeanne_d%27Arc_au_si%C3%A8ge_d%27Orl%C3%A9a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upload.wikimedia.org/wikipedia/commons/e/e9/Lenepveu%2C_Jeanne_d%27Arc_au_si%C3%A8ge_d%27Orl%C3%A9ans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7878" cy="3802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EEE911E" w14:textId="77777777" w:rsidR="00592A17" w:rsidRPr="00592A17" w:rsidRDefault="00592A17" w:rsidP="00592A17">
      <w:pPr>
        <w:spacing w:after="0" w:line="240" w:lineRule="auto"/>
      </w:pPr>
    </w:p>
    <w:p w14:paraId="51420B82" w14:textId="77777777" w:rsidR="00592A17" w:rsidRPr="00592A17" w:rsidRDefault="00592A17" w:rsidP="00592A17">
      <w:pPr>
        <w:spacing w:after="0" w:line="240" w:lineRule="auto"/>
        <w:rPr>
          <w:sz w:val="19"/>
          <w:szCs w:val="19"/>
        </w:rPr>
      </w:pPr>
      <w:hyperlink r:id="rId8" w:tooltip="Joanna d’Arc" w:history="1">
        <w:r w:rsidRPr="00592A17">
          <w:rPr>
            <w:rStyle w:val="Hipercze"/>
            <w:color w:val="auto"/>
            <w:sz w:val="19"/>
            <w:szCs w:val="19"/>
            <w:u w:val="none"/>
          </w:rPr>
          <w:t xml:space="preserve">Joanna </w:t>
        </w:r>
        <w:proofErr w:type="spellStart"/>
        <w:r w:rsidRPr="00592A17">
          <w:rPr>
            <w:rStyle w:val="Hipercze"/>
            <w:color w:val="auto"/>
            <w:sz w:val="19"/>
            <w:szCs w:val="19"/>
            <w:u w:val="none"/>
          </w:rPr>
          <w:t>d’Arc</w:t>
        </w:r>
        <w:proofErr w:type="spellEnd"/>
      </w:hyperlink>
      <w:r w:rsidRPr="00592A17">
        <w:rPr>
          <w:sz w:val="19"/>
          <w:szCs w:val="19"/>
        </w:rPr>
        <w:t xml:space="preserve"> podczas </w:t>
      </w:r>
      <w:hyperlink r:id="rId9" w:tooltip="Oblężenie Orleanu" w:history="1">
        <w:r w:rsidRPr="00592A17">
          <w:rPr>
            <w:rStyle w:val="Hipercze"/>
            <w:color w:val="auto"/>
            <w:sz w:val="19"/>
            <w:szCs w:val="19"/>
            <w:u w:val="none"/>
          </w:rPr>
          <w:t>oblężenia Orleanu</w:t>
        </w:r>
      </w:hyperlink>
    </w:p>
    <w:p w14:paraId="6DC04B5F" w14:textId="77777777" w:rsidR="00592A17" w:rsidRPr="00592A17" w:rsidRDefault="00592A17" w:rsidP="00592A17">
      <w:pPr>
        <w:spacing w:after="0" w:line="240" w:lineRule="auto"/>
        <w:rPr>
          <w:sz w:val="19"/>
          <w:szCs w:val="19"/>
        </w:rPr>
      </w:pPr>
    </w:p>
    <w:p w14:paraId="051870DA" w14:textId="77777777" w:rsidR="00592A17" w:rsidRPr="00592A17" w:rsidRDefault="00592A17" w:rsidP="00592A17">
      <w:pPr>
        <w:spacing w:after="0" w:line="240" w:lineRule="auto"/>
      </w:pPr>
    </w:p>
    <w:p w14:paraId="5FEF4CC6" w14:textId="0E9A6F0D" w:rsidR="00592A17" w:rsidRDefault="00592A17">
      <w:r>
        <w:t>Temat: Powtórzenie wiadomości do rozdziału „ Czasy rycerskie”</w:t>
      </w:r>
    </w:p>
    <w:p w14:paraId="55A2FEF8" w14:textId="183B481C" w:rsidR="00592A17" w:rsidRDefault="00592A17">
      <w:r>
        <w:t>Rozdziały:</w:t>
      </w:r>
    </w:p>
    <w:p w14:paraId="354A2746" w14:textId="2B9EBDE7" w:rsidR="00592A17" w:rsidRDefault="00592A17">
      <w:r>
        <w:t>- Od drużyny książęcej do rycerstwa</w:t>
      </w:r>
    </w:p>
    <w:p w14:paraId="03E80C88" w14:textId="3874DAE3" w:rsidR="00592A17" w:rsidRDefault="00592A17">
      <w:r>
        <w:t>- Etos rycerski</w:t>
      </w:r>
    </w:p>
    <w:p w14:paraId="75FE1A1E" w14:textId="0C69860D" w:rsidR="00592A17" w:rsidRDefault="00592A17">
      <w:r>
        <w:t>- Wojny sprawiedliwe i niesprawiedliwe</w:t>
      </w:r>
    </w:p>
    <w:p w14:paraId="47484DE8" w14:textId="1AEC685C" w:rsidR="00592A17" w:rsidRPr="00592A17" w:rsidRDefault="00592A17">
      <w:r>
        <w:t xml:space="preserve">- Koniec epoki rycerstwa </w:t>
      </w:r>
    </w:p>
    <w:sectPr w:rsidR="00592A17" w:rsidRPr="00592A17" w:rsidSect="00E22B4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PT Sans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2A17"/>
    <w:rsid w:val="00592A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64A835"/>
  <w15:chartTrackingRefBased/>
  <w15:docId w15:val="{11C2107A-930E-41AB-B027-9B218D5615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592A17"/>
    <w:pPr>
      <w:spacing w:after="200" w:line="27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semiHidden/>
    <w:unhideWhenUsed/>
    <w:rsid w:val="00592A1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l.wikipedia.org/wiki/Joanna_d%E2%80%99Arc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hyperlink" Target="https://histmag.org/grafika/articles4/wojna-stuletnia/edward3-liczy-poleglych-pod-crecy.jpg" TargetMode="External"/><Relationship Id="rId9" Type="http://schemas.openxmlformats.org/officeDocument/2006/relationships/hyperlink" Target="https://pl.wikipedia.org/wiki/Obl%C4%99%C5%BCenie_Orleanu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175</Words>
  <Characters>1052</Characters>
  <Application>Microsoft Office Word</Application>
  <DocSecurity>0</DocSecurity>
  <Lines>8</Lines>
  <Paragraphs>2</Paragraphs>
  <ScaleCrop>false</ScaleCrop>
  <Company/>
  <LinksUpToDate>false</LinksUpToDate>
  <CharactersWithSpaces>1225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Eugenia Dabrowska</dc:creator>
  <cp:keywords/>
  <dc:description/>
  <cp:lastModifiedBy>Eugenia Dabrowska</cp:lastModifiedBy>
  <cp:revision>1</cp:revision>
  <dcterms:created xsi:type="dcterms:W3CDTF">2020-05-25T11:08:00Z</dcterms:created>
  <dcterms:modified xsi:type="dcterms:W3CDTF">2020-05-25T11:11:00Z</dcterms:modified>
</cp:coreProperties>
</file>